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087A" w14:textId="77777777" w:rsidR="001E37B7" w:rsidRPr="001E37B7" w:rsidRDefault="001E37B7" w:rsidP="00797F58">
      <w:pPr>
        <w:ind w:left="-426" w:right="-284"/>
        <w:rPr>
          <w:b/>
          <w:bCs/>
          <w:sz w:val="28"/>
          <w:szCs w:val="28"/>
        </w:rPr>
      </w:pPr>
      <w:r w:rsidRPr="001E37B7">
        <w:rPr>
          <w:b/>
          <w:bCs/>
          <w:sz w:val="28"/>
          <w:szCs w:val="28"/>
        </w:rPr>
        <w:t>QUADRILL TABAKFABRIK LINZ</w:t>
      </w:r>
    </w:p>
    <w:p w14:paraId="025C2579" w14:textId="781A3E9B" w:rsidR="001E37B7" w:rsidRPr="001E37B7" w:rsidRDefault="001E37B7" w:rsidP="00797F58">
      <w:pPr>
        <w:ind w:left="-426" w:right="-284"/>
        <w:rPr>
          <w:b/>
          <w:bCs/>
        </w:rPr>
      </w:pPr>
      <w:r w:rsidRPr="001E37B7">
        <w:rPr>
          <w:b/>
          <w:bCs/>
        </w:rPr>
        <w:t>Ein neues Landmark und urbaner Katalysator im historischen Industrieensemble</w:t>
      </w:r>
    </w:p>
    <w:p w14:paraId="09C152AF" w14:textId="77777777" w:rsidR="00E31B37" w:rsidRDefault="00E31B37" w:rsidP="00797F58">
      <w:pPr>
        <w:ind w:left="-426" w:right="-284"/>
      </w:pPr>
    </w:p>
    <w:p w14:paraId="5AA2F571" w14:textId="28A2D490" w:rsidR="00A3303C" w:rsidRPr="00A3303C" w:rsidRDefault="00A3303C" w:rsidP="00797F58">
      <w:pPr>
        <w:ind w:left="-426" w:right="-284"/>
      </w:pPr>
      <w:r w:rsidRPr="00A3303C">
        <w:t>Mit dem Projekt QUADRILL erfährt die Tabakfabrik Linz eine signifikante städtebauliche und architektonische Transformation. Der 1935 nach Plänen von Peter Behrens und Alexander Popp realisierte Industriebau – als erster Stahlskelettbau Österreichs im Geist der Neuen Sachlichkeit – wird durch ein zeitgenössisches Ensemble ergänzt, das den historischen Kontext respektiert und zugleich eine neue urbane Identität formuliert. Nach dem Erwerb des 38.000 m² großen Areals durch die Stadt Linz im Jahr 2010 entwickelte sich die Tabakfabrik sukzessive zu einem Zentrum der Kreativwirtschaft und Digitalisierung. Mit QUADRILL wird diese Transformation räumlich und funktional vollendet.</w:t>
      </w:r>
    </w:p>
    <w:p w14:paraId="38AED248" w14:textId="77777777" w:rsidR="00A3303C" w:rsidRPr="00A3303C" w:rsidRDefault="00A3303C" w:rsidP="00797F58">
      <w:pPr>
        <w:ind w:left="-426" w:right="-284"/>
        <w:rPr>
          <w:b/>
          <w:bCs/>
        </w:rPr>
      </w:pPr>
      <w:r w:rsidRPr="00A3303C">
        <w:rPr>
          <w:b/>
          <w:bCs/>
        </w:rPr>
        <w:t>Städtebauliche Neuordnung und Öffnung des Areals</w:t>
      </w:r>
    </w:p>
    <w:p w14:paraId="25C5F304" w14:textId="77777777" w:rsidR="00A3303C" w:rsidRPr="00A3303C" w:rsidRDefault="00A3303C" w:rsidP="00797F58">
      <w:pPr>
        <w:ind w:left="-426" w:right="-284"/>
      </w:pPr>
      <w:r w:rsidRPr="00A3303C">
        <w:t xml:space="preserve">Das von Zechner &amp; Zechner geplante und nach einem einstimmigen Wettbewerbsentscheid 2017 realisierte Ensemble fungiert als neuer Kopfbau der Anlage und als Schnittstelle zwischen Bestand und Stadt. Die ehemals introvertierte Fabrikstruktur wird gezielt geöffnet und in einen durchlässigen, urbanen Stadtbaustein überführt. Entlang der </w:t>
      </w:r>
      <w:proofErr w:type="spellStart"/>
      <w:r w:rsidRPr="00A3303C">
        <w:t>Gruberstraße</w:t>
      </w:r>
      <w:proofErr w:type="spellEnd"/>
      <w:r w:rsidRPr="00A3303C">
        <w:t xml:space="preserve"> markiert ein großzügig ausgebildetes Entrée den neuen Zugang und fungiert als Verteiler in das Quartier.</w:t>
      </w:r>
    </w:p>
    <w:p w14:paraId="3608B8A5" w14:textId="77777777" w:rsidR="00A3303C" w:rsidRPr="00A3303C" w:rsidRDefault="00A3303C" w:rsidP="00797F58">
      <w:pPr>
        <w:ind w:left="-426" w:right="-284"/>
      </w:pPr>
      <w:r w:rsidRPr="00A3303C">
        <w:t xml:space="preserve">Die volumetrische Setzung reagiert sensibel auf den historischen Kontext: Niedrige Baukörper vermitteln zum Bestand, während sich die Höhenentwicklung nach Nordwesten steigert und im 109 Meter hohen </w:t>
      </w:r>
      <w:proofErr w:type="spellStart"/>
      <w:r w:rsidRPr="00A3303C">
        <w:t>Quadrill</w:t>
      </w:r>
      <w:proofErr w:type="spellEnd"/>
      <w:r w:rsidRPr="00A3303C">
        <w:t xml:space="preserve"> Tower kulminiert. Dieser bildet ein vertikales Pendant zum horizontal ausgedehnten Behrens-Trakt und etabliert sich als weithin sichtbares Landmark im Stadtgefüge von Linz.</w:t>
      </w:r>
    </w:p>
    <w:p w14:paraId="07A063C4" w14:textId="77777777" w:rsidR="00A3303C" w:rsidRPr="00A3303C" w:rsidRDefault="00A3303C" w:rsidP="00797F58">
      <w:pPr>
        <w:ind w:left="-426" w:right="-284"/>
        <w:rPr>
          <w:b/>
          <w:bCs/>
        </w:rPr>
      </w:pPr>
      <w:r w:rsidRPr="00A3303C">
        <w:rPr>
          <w:b/>
          <w:bCs/>
        </w:rPr>
        <w:t>Freiraumkonzept: Zwei Ebenen, ein zusammenhängender Stadtraum</w:t>
      </w:r>
    </w:p>
    <w:p w14:paraId="2F20172B" w14:textId="77777777" w:rsidR="00A3303C" w:rsidRPr="00A3303C" w:rsidRDefault="00A3303C" w:rsidP="00797F58">
      <w:pPr>
        <w:ind w:left="-426" w:right="-284"/>
      </w:pPr>
      <w:r w:rsidRPr="00A3303C">
        <w:t>Ein zentrales Entwurfsmotiv ist die Ausbildung eines durchgängigen öffentlichen Raumsystems auf zwei Ebenen. Neben dem klassischen Stadtniveau – dem sogenannten Behrensplatz – etabliert sich mit dem „Behrensband“ auf Ebene des ersten Obergeschoßes eine zweite, erhöhte Freiraumschicht.</w:t>
      </w:r>
    </w:p>
    <w:p w14:paraId="1D922825" w14:textId="77777777" w:rsidR="00A3303C" w:rsidRPr="00A3303C" w:rsidRDefault="00A3303C" w:rsidP="00797F58">
      <w:pPr>
        <w:ind w:left="-426" w:right="-284"/>
      </w:pPr>
      <w:r w:rsidRPr="00A3303C">
        <w:t>Diese Dachlandschaft ist weit mehr als reine Erschließung: Sie fungiert als urbaner Aufenthaltsraum mit hoher Aufenthaltsqualität, verknüpft die vier Baukörper untereinander und bindet den historischen Bestand räumlich ein. Treppenanlagen und tribünenartige Elemente verzahnen die Ebenen miteinander und schaffen vielfältige Blick- und Nutzungsbeziehungen. Es entsteht ein vielschichtiger Stadtraum, der Bewegung, Aufenthalt und Programm gleichermaßen integriert.</w:t>
      </w:r>
    </w:p>
    <w:p w14:paraId="0B1AC640" w14:textId="77777777" w:rsidR="00A3303C" w:rsidRPr="00A3303C" w:rsidRDefault="00A3303C" w:rsidP="00797F58">
      <w:pPr>
        <w:ind w:left="-426" w:right="-284"/>
        <w:rPr>
          <w:b/>
          <w:bCs/>
        </w:rPr>
      </w:pPr>
      <w:r w:rsidRPr="00A3303C">
        <w:rPr>
          <w:b/>
          <w:bCs/>
        </w:rPr>
        <w:t>Nutzungsmischung und programmatische Dichte</w:t>
      </w:r>
    </w:p>
    <w:p w14:paraId="1D342F36" w14:textId="77777777" w:rsidR="00A3303C" w:rsidRPr="00A3303C" w:rsidRDefault="00A3303C" w:rsidP="00797F58">
      <w:pPr>
        <w:ind w:left="-426" w:right="-284"/>
      </w:pPr>
      <w:r w:rsidRPr="00A3303C">
        <w:t>QUADRILL steht paradigmatisch für eine zeitgenössische, hybride Stadtstruktur. Anstelle monofunktionaler Zonierungen setzt das Projekt auf eine vertikale und horizontale Überlagerung unterschiedlichster Nutzungen. Rund 1.000 Arbeitsplätze und etwa 180 Wohnungen bilden gemeinsam mit Hotel, Gastronomie, Einzelhandel, Fitness- und Veranstaltungsflächen ein dichtes, urbanes Gefüge.</w:t>
      </w:r>
    </w:p>
    <w:p w14:paraId="7603F9AA" w14:textId="14451D93" w:rsidR="00A3303C" w:rsidRPr="00A3303C" w:rsidRDefault="00A3303C" w:rsidP="00797F58">
      <w:pPr>
        <w:ind w:left="-426" w:right="-284"/>
      </w:pPr>
      <w:r w:rsidRPr="00A3303C">
        <w:t xml:space="preserve">Im Zentrum steht der </w:t>
      </w:r>
      <w:proofErr w:type="spellStart"/>
      <w:r w:rsidRPr="00A3303C">
        <w:t>Quadrill</w:t>
      </w:r>
      <w:proofErr w:type="spellEnd"/>
      <w:r w:rsidRPr="00A3303C">
        <w:t xml:space="preserve"> Tower, der als höchstes Büro- und Hotelgebäude Österreichs außerhalb Wiens neue Maßstäbe setzt. Neben 189 Hotelzimmern auf acht Ebenen beherbergt er 15 Geschoße mit flexibel nutzbaren Büroflächen sowie ein öffentlich zugängliches Sky-Restaurant mit Bar und Terrasse. Die Innenraumgestaltung des Hotels, unter der Leitung von Monika </w:t>
      </w:r>
      <w:proofErr w:type="spellStart"/>
      <w:r w:rsidRPr="00A3303C">
        <w:t>Breu</w:t>
      </w:r>
      <w:proofErr w:type="spellEnd"/>
      <w:r w:rsidRPr="00A3303C">
        <w:t>, ergänzt die architektonische Gesamtidee um eine präzise ausgearbeitete atmosphärische Dimension.</w:t>
      </w:r>
    </w:p>
    <w:p w14:paraId="118DE0CD" w14:textId="77777777" w:rsidR="00A3303C" w:rsidRPr="00A3303C" w:rsidRDefault="00A3303C" w:rsidP="00797F58">
      <w:pPr>
        <w:ind w:left="-426" w:right="-284"/>
      </w:pPr>
      <w:r w:rsidRPr="00A3303C">
        <w:t>Die Erd- und ersten Obergeschoße zeichnen sich durch erhöhte Raumhöhen aus, wodurch langfristige Nutzungsflexibilität gewährleistet wird. Die bewusste „Portionierung“ des Gesamtvolumens in einzelne Baukörper unterstützt diese Adaptierbarkeit zusätzlich.</w:t>
      </w:r>
    </w:p>
    <w:p w14:paraId="6E03294B" w14:textId="77777777" w:rsidR="00797F58" w:rsidRDefault="00797F58">
      <w:pPr>
        <w:rPr>
          <w:b/>
          <w:bCs/>
        </w:rPr>
      </w:pPr>
      <w:r>
        <w:rPr>
          <w:b/>
          <w:bCs/>
        </w:rPr>
        <w:br w:type="page"/>
      </w:r>
    </w:p>
    <w:p w14:paraId="0AF5DDA3" w14:textId="778CC233" w:rsidR="00A3303C" w:rsidRPr="00A3303C" w:rsidRDefault="00A3303C" w:rsidP="00797F58">
      <w:pPr>
        <w:ind w:left="-426" w:right="-284"/>
        <w:rPr>
          <w:b/>
          <w:bCs/>
        </w:rPr>
      </w:pPr>
      <w:r w:rsidRPr="00A3303C">
        <w:rPr>
          <w:b/>
          <w:bCs/>
        </w:rPr>
        <w:lastRenderedPageBreak/>
        <w:t>Neue Typologien des Arbeitens und Wohnens</w:t>
      </w:r>
    </w:p>
    <w:p w14:paraId="15445C6E" w14:textId="77777777" w:rsidR="00A3303C" w:rsidRPr="00A3303C" w:rsidRDefault="00A3303C" w:rsidP="00797F58">
      <w:pPr>
        <w:ind w:left="-426" w:right="-284"/>
      </w:pPr>
      <w:r w:rsidRPr="00A3303C">
        <w:t>Die Arbeitswelten im QUADRILL folgen einem offenen, vernetzten Konzept: Terrassen, Outdoor-Arbeitsplätze und gemeinschaftlich nutzbare Flächen erweitern klassische Bürostrukturen. Diese räumliche Durchlässigkeit wird durch ein dichtes Angebot an Gastronomie und Freizeitnutzungen ergänzt und erzeugt eine hohe Aufenthaltsqualität über den gesamten Tagesverlauf hinweg.</w:t>
      </w:r>
    </w:p>
    <w:p w14:paraId="7A9AB3DC" w14:textId="77777777" w:rsidR="00A3303C" w:rsidRPr="00A3303C" w:rsidRDefault="00A3303C" w:rsidP="00797F58">
      <w:pPr>
        <w:ind w:left="-426" w:right="-284"/>
      </w:pPr>
      <w:r w:rsidRPr="00A3303C">
        <w:t>Parallel dazu integriert das Projekt Wohnnutzungen in unmittelbarer Nachbarschaft zu Arbeitsplätzen. Die überwiegend kompakten Wohneinheiten reagieren auf veränderte Lebensrealitäten und ermöglichen kurze Wege zwischen Wohnen und Arbeiten. Damit stellt QUADRILL eine bewusste Abkehr von funktional getrennten Stadtstrukturen dar und formuliert ein zeitgemäßes Modell urbaner Nutzungsmischung.</w:t>
      </w:r>
    </w:p>
    <w:p w14:paraId="1BF2FF34" w14:textId="77777777" w:rsidR="00A3303C" w:rsidRPr="00A3303C" w:rsidRDefault="00A3303C" w:rsidP="00797F58">
      <w:pPr>
        <w:ind w:left="-426" w:right="-284"/>
        <w:rPr>
          <w:b/>
          <w:bCs/>
        </w:rPr>
      </w:pPr>
      <w:r w:rsidRPr="00A3303C">
        <w:rPr>
          <w:b/>
          <w:bCs/>
        </w:rPr>
        <w:t>Architektonischer Ausdruck und Materialität</w:t>
      </w:r>
    </w:p>
    <w:p w14:paraId="5435202B" w14:textId="3AF714E3" w:rsidR="00A3303C" w:rsidRPr="00A3303C" w:rsidRDefault="00A3303C" w:rsidP="00797F58">
      <w:pPr>
        <w:ind w:left="-426" w:right="-284"/>
      </w:pPr>
      <w:r w:rsidRPr="00A3303C">
        <w:t xml:space="preserve">Die architektonische Sprache der Neubauten </w:t>
      </w:r>
      <w:r w:rsidR="00642FA3">
        <w:t xml:space="preserve">konkurriert bewusst nicht mit dem </w:t>
      </w:r>
      <w:r w:rsidRPr="00A3303C">
        <w:t>denkmalgeschützten Bestand. Der Sockelbereich nimmt mit seiner Klinkerfassade Bezug auf die Materialität der historischen Gebäude und schafft eine verbindende Ebene zwischen Alt und Neu.</w:t>
      </w:r>
    </w:p>
    <w:p w14:paraId="151FE6E4" w14:textId="77777777" w:rsidR="00A3303C" w:rsidRPr="00A3303C" w:rsidRDefault="00A3303C" w:rsidP="00797F58">
      <w:pPr>
        <w:ind w:left="-426" w:right="-284"/>
      </w:pPr>
      <w:r w:rsidRPr="00A3303C">
        <w:t xml:space="preserve">Der Turm hingegen entwickelt eine eigenständige, differenzierte Fassadentektonik: Die zweischaligen Elemente sind im unteren Bereich plastisch aufgefaltet und verjüngen sich mit zunehmender Höhe. Die Fassadenfugen werden nach oben hin reduziert, wodurch sich die Gebäudehülle zunehmend glättet und beruhigt – ein subtiler Übergang von plastischer Präsenz zu abstrakter </w:t>
      </w:r>
      <w:proofErr w:type="spellStart"/>
      <w:r w:rsidRPr="00A3303C">
        <w:t>Vertikalität</w:t>
      </w:r>
      <w:proofErr w:type="spellEnd"/>
      <w:r w:rsidRPr="00A3303C">
        <w:t>.</w:t>
      </w:r>
    </w:p>
    <w:p w14:paraId="03E9876F" w14:textId="77777777" w:rsidR="00A3303C" w:rsidRPr="00A3303C" w:rsidRDefault="00A3303C" w:rsidP="00797F58">
      <w:pPr>
        <w:ind w:left="-426" w:right="-284"/>
        <w:rPr>
          <w:b/>
          <w:bCs/>
        </w:rPr>
      </w:pPr>
      <w:r w:rsidRPr="00A3303C">
        <w:rPr>
          <w:b/>
          <w:bCs/>
        </w:rPr>
        <w:t>Dachlandschaften als erweiterter Stadtraum</w:t>
      </w:r>
    </w:p>
    <w:p w14:paraId="339D28D0" w14:textId="77777777" w:rsidR="00A3303C" w:rsidRPr="00A3303C" w:rsidRDefault="00A3303C" w:rsidP="00797F58">
      <w:pPr>
        <w:ind w:left="-426" w:right="-284"/>
      </w:pPr>
      <w:r w:rsidRPr="00A3303C">
        <w:t>Die intensive Nutzung der Dachflächen ist integraler Bestandteil des Entwurfskonzepts. Neben dem öffentlich zugänglichen Behrensband dienen die Dächer der niedrigeren Baukörper als Spiel-, Sport- und Aufenthaltsflächen. Diese differenziert gestalteten Freiräume – geplant vom Landschaftsarchitekturbüro Korbwurf – sind als eigenständige Aktivitätszonen ablesbar und erweitern den Stadtraum in die Vertikale.</w:t>
      </w:r>
    </w:p>
    <w:p w14:paraId="2F337FFE" w14:textId="77777777" w:rsidR="00A3303C" w:rsidRPr="00A3303C" w:rsidRDefault="00A3303C" w:rsidP="00797F58">
      <w:pPr>
        <w:ind w:left="-426" w:right="-284"/>
      </w:pPr>
      <w:r w:rsidRPr="00A3303C">
        <w:t>Die öffentliche Zugänglichkeit der obersten Ebene des Towers komplettiert diese Strategie und macht die Skyline von Linz räumlich erfahrbar.</w:t>
      </w:r>
    </w:p>
    <w:p w14:paraId="65C1F13D" w14:textId="77777777" w:rsidR="00A3303C" w:rsidRPr="00A3303C" w:rsidRDefault="00A3303C" w:rsidP="00797F58">
      <w:pPr>
        <w:ind w:left="-426" w:right="-284"/>
        <w:rPr>
          <w:b/>
          <w:bCs/>
        </w:rPr>
      </w:pPr>
      <w:r w:rsidRPr="00A3303C">
        <w:rPr>
          <w:b/>
          <w:bCs/>
        </w:rPr>
        <w:t>Nachhaltigkeit als integraler Entwurfsansatz</w:t>
      </w:r>
    </w:p>
    <w:p w14:paraId="5C509351" w14:textId="77777777" w:rsidR="00A3303C" w:rsidRPr="00A3303C" w:rsidRDefault="00A3303C" w:rsidP="00797F58">
      <w:pPr>
        <w:ind w:left="-426" w:right="-284"/>
      </w:pPr>
      <w:r w:rsidRPr="00A3303C">
        <w:t>Die nachhaltige Konzeption des Quartiers folgt einem ganzheitlichen Ansatz. Die Energieversorgung basiert primär auf Grundwassernutzung mittels Wärmepumpen, ergänzt durch Photovoltaikanlagen auf den Dachflächen. Fernwärme und -kälte dienen lediglich der Spitzenlastabdeckung. Ein eigener Brunnen gewährleistet die Bewässerung der Grünflächen.</w:t>
      </w:r>
    </w:p>
    <w:p w14:paraId="1A306252" w14:textId="77777777" w:rsidR="00A3303C" w:rsidRPr="00A3303C" w:rsidRDefault="00A3303C" w:rsidP="00797F58">
      <w:pPr>
        <w:ind w:left="-426" w:right="-284"/>
      </w:pPr>
      <w:r w:rsidRPr="00A3303C">
        <w:t>Zertifizierungen nach ÖGNI und klimaaktiv sind Ausdruck dieses Anspruchs, wobei die ökologische Performance mit ökonomischer Effizienz einhergeht. Niedrige Betriebskosten sind dabei ein direktes Resultat der optimierten Energiekonzepte.</w:t>
      </w:r>
    </w:p>
    <w:p w14:paraId="4D3899BD" w14:textId="77777777" w:rsidR="00A3303C" w:rsidRPr="00A3303C" w:rsidRDefault="00A3303C" w:rsidP="00797F58">
      <w:pPr>
        <w:ind w:left="-426" w:right="-284"/>
      </w:pPr>
      <w:r w:rsidRPr="00A3303C">
        <w:t>Darüber hinaus wird Nachhaltigkeit auch als kulturelle und soziale Kategorie verstanden. Die langfristige Nutzbarkeit, Flexibilität und Identitätsstiftung der Architektur stehen im Zentrum. In dieser Hinsicht knüpft QUADRILL an die Qualitäten des historischen Bestands an: Die von Behrens konzipierten Gebäude funktionieren auch nach über acht Jahrzehnten aufgrund ihrer räumlichen Großzügigkeit und Anpassungsfähigkeit – ein Maßstab, den das neue Ensemble bewusst fortschreibt.</w:t>
      </w:r>
    </w:p>
    <w:p w14:paraId="25C02BA9" w14:textId="77777777" w:rsidR="00A3303C" w:rsidRDefault="00A3303C" w:rsidP="00797F58">
      <w:pPr>
        <w:ind w:left="-426" w:right="-284"/>
      </w:pPr>
      <w:r w:rsidRPr="00A3303C">
        <w:t>Mit QUADRILL wird die Tabakfabrik Linz endgültig vom industriellen Produktionsstandort zum offenen, gemischt genutzten Stadtquartier transformiert. Das Projekt verbindet historische Substanz mit zeitgenössischer Architektur, verdichtet urbane Funktionen und schafft einen neuen identitätsstiftenden Ort im Gefüge der Stadt.</w:t>
      </w:r>
    </w:p>
    <w:p w14:paraId="678BDC57" w14:textId="076D74A4" w:rsidR="000F07B4" w:rsidRPr="000F07B4" w:rsidRDefault="00E62185" w:rsidP="00E62185">
      <w:pPr>
        <w:tabs>
          <w:tab w:val="right" w:pos="8931"/>
        </w:tabs>
        <w:ind w:left="-426" w:right="-284"/>
        <w:rPr>
          <w:i/>
          <w:iCs/>
          <w:sz w:val="20"/>
          <w:szCs w:val="20"/>
        </w:rPr>
      </w:pPr>
      <w:r>
        <w:rPr>
          <w:i/>
          <w:iCs/>
          <w:sz w:val="20"/>
          <w:szCs w:val="20"/>
        </w:rPr>
        <w:tab/>
      </w:r>
      <w:r w:rsidR="000F07B4" w:rsidRPr="000F07B4">
        <w:rPr>
          <w:i/>
          <w:iCs/>
          <w:sz w:val="20"/>
          <w:szCs w:val="20"/>
        </w:rPr>
        <w:t>Text: Zechner &amp; Zechner</w:t>
      </w:r>
    </w:p>
    <w:p w14:paraId="7B90E984" w14:textId="77777777" w:rsidR="000F07B4" w:rsidRDefault="000F07B4" w:rsidP="000F07B4">
      <w:pPr>
        <w:spacing w:after="120"/>
      </w:pPr>
    </w:p>
    <w:p w14:paraId="015B6D16"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lastRenderedPageBreak/>
        <w:t>Adresse:</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r>
      <w:proofErr w:type="spellStart"/>
      <w:r w:rsidRPr="000F07B4">
        <w:rPr>
          <w:rFonts w:asciiTheme="minorHAnsi" w:hAnsiTheme="minorHAnsi" w:cstheme="minorHAnsi"/>
        </w:rPr>
        <w:t>Gruberstraße</w:t>
      </w:r>
      <w:proofErr w:type="spellEnd"/>
      <w:r w:rsidRPr="000F07B4">
        <w:rPr>
          <w:rFonts w:asciiTheme="minorHAnsi" w:hAnsiTheme="minorHAnsi" w:cstheme="minorHAnsi"/>
        </w:rPr>
        <w:t xml:space="preserve">, Untere Donaulände, </w:t>
      </w:r>
      <w:proofErr w:type="spellStart"/>
      <w:r w:rsidRPr="000F07B4">
        <w:rPr>
          <w:rFonts w:asciiTheme="minorHAnsi" w:hAnsiTheme="minorHAnsi" w:cstheme="minorHAnsi"/>
        </w:rPr>
        <w:t>Ludlgasse</w:t>
      </w:r>
      <w:proofErr w:type="spellEnd"/>
      <w:r w:rsidRPr="000F07B4">
        <w:rPr>
          <w:rFonts w:asciiTheme="minorHAnsi" w:hAnsiTheme="minorHAnsi" w:cstheme="minorHAnsi"/>
        </w:rPr>
        <w:t>, 4020 Linz</w:t>
      </w:r>
    </w:p>
    <w:p w14:paraId="2B74897C"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Bauherr:</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Bodner Gruppe, Kufstein</w:t>
      </w:r>
    </w:p>
    <w:p w14:paraId="30CB1F22"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Generalplanung:</w:t>
      </w:r>
      <w:r w:rsidRPr="000F07B4">
        <w:rPr>
          <w:rFonts w:asciiTheme="minorHAnsi" w:hAnsiTheme="minorHAnsi" w:cstheme="minorHAnsi"/>
        </w:rPr>
        <w:tab/>
      </w:r>
      <w:r w:rsidRPr="000F07B4">
        <w:rPr>
          <w:rFonts w:asciiTheme="minorHAnsi" w:hAnsiTheme="minorHAnsi" w:cstheme="minorHAnsi"/>
        </w:rPr>
        <w:tab/>
        <w:t>Zechner &amp; Zechner, Wien</w:t>
      </w:r>
    </w:p>
    <w:p w14:paraId="7B762C75"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ab/>
        <w:t>Statik:</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Thomas Lorenz ZT, Graz</w:t>
      </w:r>
    </w:p>
    <w:p w14:paraId="7F948989"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ab/>
        <w:t>TGA:</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Die Haustechniker, Jennersdorf</w:t>
      </w:r>
    </w:p>
    <w:p w14:paraId="006D4D20"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ab/>
        <w:t>Bauphysik:</w:t>
      </w:r>
      <w:r w:rsidRPr="000F07B4">
        <w:rPr>
          <w:rFonts w:asciiTheme="minorHAnsi" w:hAnsiTheme="minorHAnsi" w:cstheme="minorHAnsi"/>
        </w:rPr>
        <w:tab/>
      </w:r>
      <w:r w:rsidRPr="000F07B4">
        <w:rPr>
          <w:rFonts w:asciiTheme="minorHAnsi" w:hAnsiTheme="minorHAnsi" w:cstheme="minorHAnsi"/>
        </w:rPr>
        <w:tab/>
        <w:t>Dr. Pfeiler, Graz</w:t>
      </w:r>
    </w:p>
    <w:p w14:paraId="7C347DF1"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ab/>
        <w:t>Brandschutz:</w:t>
      </w:r>
      <w:r w:rsidRPr="000F07B4">
        <w:rPr>
          <w:rFonts w:asciiTheme="minorHAnsi" w:hAnsiTheme="minorHAnsi" w:cstheme="minorHAnsi"/>
        </w:rPr>
        <w:tab/>
      </w:r>
      <w:r w:rsidRPr="000F07B4">
        <w:rPr>
          <w:rFonts w:asciiTheme="minorHAnsi" w:hAnsiTheme="minorHAnsi" w:cstheme="minorHAnsi"/>
        </w:rPr>
        <w:tab/>
        <w:t>Brandschütz, Wien</w:t>
      </w:r>
    </w:p>
    <w:p w14:paraId="04D08509"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ab/>
        <w:t>Freiraumplanung:</w:t>
      </w:r>
      <w:r w:rsidRPr="000F07B4">
        <w:rPr>
          <w:rFonts w:asciiTheme="minorHAnsi" w:hAnsiTheme="minorHAnsi" w:cstheme="minorHAnsi"/>
        </w:rPr>
        <w:tab/>
        <w:t>Korbwurf, Wien</w:t>
      </w:r>
    </w:p>
    <w:p w14:paraId="4E8C5A4C"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Hoteldesign:</w:t>
      </w:r>
      <w:r w:rsidRPr="000F07B4">
        <w:rPr>
          <w:rFonts w:asciiTheme="minorHAnsi" w:hAnsiTheme="minorHAnsi" w:cstheme="minorHAnsi"/>
        </w:rPr>
        <w:tab/>
      </w:r>
      <w:r w:rsidRPr="000F07B4">
        <w:rPr>
          <w:rFonts w:asciiTheme="minorHAnsi" w:hAnsiTheme="minorHAnsi" w:cstheme="minorHAnsi"/>
        </w:rPr>
        <w:tab/>
      </w:r>
      <w:r w:rsidRPr="000F07B4">
        <w:rPr>
          <w:rFonts w:asciiTheme="minorHAnsi" w:hAnsiTheme="minorHAnsi" w:cstheme="minorHAnsi"/>
        </w:rPr>
        <w:tab/>
        <w:t xml:space="preserve">Monika </w:t>
      </w:r>
      <w:proofErr w:type="spellStart"/>
      <w:r w:rsidRPr="000F07B4">
        <w:rPr>
          <w:rFonts w:asciiTheme="minorHAnsi" w:hAnsiTheme="minorHAnsi" w:cstheme="minorHAnsi"/>
        </w:rPr>
        <w:t>Breu</w:t>
      </w:r>
      <w:proofErr w:type="spellEnd"/>
      <w:r w:rsidRPr="000F07B4">
        <w:rPr>
          <w:rFonts w:asciiTheme="minorHAnsi" w:hAnsiTheme="minorHAnsi" w:cstheme="minorHAnsi"/>
        </w:rPr>
        <w:t xml:space="preserve"> / Zechner &amp; Zechner, Wien</w:t>
      </w:r>
    </w:p>
    <w:p w14:paraId="79710001" w14:textId="77777777" w:rsidR="000F07B4" w:rsidRPr="000F07B4" w:rsidRDefault="000F07B4" w:rsidP="000F07B4">
      <w:pPr>
        <w:pStyle w:val="KeinLeerraum"/>
        <w:ind w:left="-426"/>
        <w:rPr>
          <w:rFonts w:asciiTheme="minorHAnsi" w:hAnsiTheme="minorHAnsi" w:cstheme="minorHAnsi"/>
        </w:rPr>
      </w:pPr>
      <w:r w:rsidRPr="000F07B4">
        <w:rPr>
          <w:rFonts w:asciiTheme="minorHAnsi" w:hAnsiTheme="minorHAnsi" w:cstheme="minorHAnsi"/>
        </w:rPr>
        <w:t>Generalunternehmer:</w:t>
      </w:r>
      <w:r w:rsidRPr="000F07B4">
        <w:rPr>
          <w:rFonts w:asciiTheme="minorHAnsi" w:hAnsiTheme="minorHAnsi" w:cstheme="minorHAnsi"/>
        </w:rPr>
        <w:tab/>
      </w:r>
      <w:r w:rsidRPr="000F07B4">
        <w:rPr>
          <w:rFonts w:asciiTheme="minorHAnsi" w:hAnsiTheme="minorHAnsi" w:cstheme="minorHAnsi"/>
        </w:rPr>
        <w:tab/>
        <w:t xml:space="preserve">ARGE Bodner / </w:t>
      </w:r>
      <w:proofErr w:type="spellStart"/>
      <w:r w:rsidRPr="000F07B4">
        <w:rPr>
          <w:rFonts w:asciiTheme="minorHAnsi" w:hAnsiTheme="minorHAnsi" w:cstheme="minorHAnsi"/>
        </w:rPr>
        <w:t>Dywidag</w:t>
      </w:r>
      <w:proofErr w:type="spellEnd"/>
    </w:p>
    <w:p w14:paraId="7F1A23DD" w14:textId="77777777" w:rsidR="000F07B4" w:rsidRPr="000F07B4" w:rsidRDefault="000F07B4" w:rsidP="000F07B4">
      <w:pPr>
        <w:pStyle w:val="KeinLeerraum"/>
        <w:ind w:left="-426"/>
        <w:rPr>
          <w:rFonts w:asciiTheme="minorHAnsi" w:hAnsiTheme="minorHAnsi" w:cstheme="minorHAnsi"/>
          <w:lang w:eastAsia="de-AT"/>
        </w:rPr>
      </w:pPr>
      <w:r w:rsidRPr="000F07B4">
        <w:rPr>
          <w:rFonts w:asciiTheme="minorHAnsi" w:hAnsiTheme="minorHAnsi" w:cstheme="minorHAnsi"/>
          <w:lang w:eastAsia="de-AT"/>
        </w:rPr>
        <w:t>Wettbewerb:</w:t>
      </w:r>
      <w:r w:rsidRPr="000F07B4">
        <w:rPr>
          <w:rFonts w:asciiTheme="minorHAnsi" w:hAnsiTheme="minorHAnsi" w:cstheme="minorHAnsi"/>
          <w:lang w:eastAsia="de-AT"/>
        </w:rPr>
        <w:tab/>
      </w:r>
      <w:r w:rsidRPr="000F07B4">
        <w:rPr>
          <w:rFonts w:asciiTheme="minorHAnsi" w:hAnsiTheme="minorHAnsi" w:cstheme="minorHAnsi"/>
          <w:lang w:eastAsia="de-AT"/>
        </w:rPr>
        <w:tab/>
      </w:r>
      <w:r w:rsidRPr="000F07B4">
        <w:rPr>
          <w:rFonts w:asciiTheme="minorHAnsi" w:hAnsiTheme="minorHAnsi" w:cstheme="minorHAnsi"/>
          <w:lang w:eastAsia="de-AT"/>
        </w:rPr>
        <w:tab/>
        <w:t>2017</w:t>
      </w:r>
    </w:p>
    <w:p w14:paraId="28DEDF14" w14:textId="4AB91D85" w:rsidR="000F07B4" w:rsidRPr="000F07B4" w:rsidRDefault="000F07B4" w:rsidP="000F07B4">
      <w:pPr>
        <w:pStyle w:val="KeinLeerraum"/>
        <w:ind w:left="-426"/>
        <w:rPr>
          <w:rFonts w:asciiTheme="minorHAnsi" w:hAnsiTheme="minorHAnsi" w:cstheme="minorHAnsi"/>
          <w:lang w:eastAsia="de-AT"/>
        </w:rPr>
      </w:pPr>
      <w:r w:rsidRPr="000F07B4">
        <w:rPr>
          <w:rFonts w:asciiTheme="minorHAnsi" w:hAnsiTheme="minorHAnsi" w:cstheme="minorHAnsi"/>
          <w:lang w:eastAsia="de-AT"/>
        </w:rPr>
        <w:t>Fertigstellung:</w:t>
      </w:r>
      <w:r w:rsidRPr="000F07B4">
        <w:rPr>
          <w:rFonts w:asciiTheme="minorHAnsi" w:hAnsiTheme="minorHAnsi" w:cstheme="minorHAnsi"/>
          <w:lang w:eastAsia="de-AT"/>
        </w:rPr>
        <w:tab/>
      </w:r>
      <w:r w:rsidRPr="000F07B4">
        <w:rPr>
          <w:rFonts w:asciiTheme="minorHAnsi" w:hAnsiTheme="minorHAnsi" w:cstheme="minorHAnsi"/>
          <w:lang w:eastAsia="de-AT"/>
        </w:rPr>
        <w:tab/>
        <w:t>2026</w:t>
      </w:r>
    </w:p>
    <w:p w14:paraId="0920DD9B" w14:textId="77777777" w:rsidR="000F07B4" w:rsidRPr="000F07B4" w:rsidRDefault="000F07B4" w:rsidP="000F07B4">
      <w:pPr>
        <w:pStyle w:val="KeinLeerraum"/>
        <w:ind w:left="-426"/>
        <w:rPr>
          <w:rFonts w:asciiTheme="minorHAnsi" w:hAnsiTheme="minorHAnsi" w:cstheme="minorHAnsi"/>
          <w:szCs w:val="20"/>
        </w:rPr>
      </w:pPr>
      <w:r w:rsidRPr="000F07B4">
        <w:rPr>
          <w:rFonts w:asciiTheme="minorHAnsi" w:hAnsiTheme="minorHAnsi" w:cstheme="minorHAnsi"/>
          <w:szCs w:val="20"/>
        </w:rPr>
        <w:t>Bruttogeschoßfläche:</w:t>
      </w:r>
      <w:r w:rsidRPr="000F07B4">
        <w:rPr>
          <w:rFonts w:asciiTheme="minorHAnsi" w:hAnsiTheme="minorHAnsi" w:cstheme="minorHAnsi"/>
          <w:szCs w:val="20"/>
        </w:rPr>
        <w:tab/>
      </w:r>
      <w:r w:rsidRPr="000F07B4">
        <w:rPr>
          <w:rFonts w:asciiTheme="minorHAnsi" w:hAnsiTheme="minorHAnsi" w:cstheme="minorHAnsi"/>
          <w:szCs w:val="20"/>
        </w:rPr>
        <w:tab/>
        <w:t>54.000 m2 oberirdisch, 31.300 m2 unterirdisch</w:t>
      </w:r>
    </w:p>
    <w:p w14:paraId="4CE246E5" w14:textId="77777777" w:rsidR="000F07B4" w:rsidRPr="000F07B4" w:rsidRDefault="000F07B4" w:rsidP="000F07B4">
      <w:pPr>
        <w:pStyle w:val="KeinLeerraum"/>
        <w:ind w:left="-426"/>
        <w:rPr>
          <w:rFonts w:asciiTheme="minorHAnsi" w:hAnsiTheme="minorHAnsi" w:cstheme="minorHAnsi"/>
          <w:szCs w:val="20"/>
        </w:rPr>
      </w:pPr>
      <w:r w:rsidRPr="000F07B4">
        <w:rPr>
          <w:rFonts w:asciiTheme="minorHAnsi" w:hAnsiTheme="minorHAnsi" w:cstheme="minorHAnsi"/>
          <w:szCs w:val="20"/>
        </w:rPr>
        <w:t>Nutzfläche:</w:t>
      </w:r>
      <w:r w:rsidRPr="000F07B4">
        <w:rPr>
          <w:rFonts w:asciiTheme="minorHAnsi" w:hAnsiTheme="minorHAnsi" w:cstheme="minorHAnsi"/>
          <w:szCs w:val="20"/>
        </w:rPr>
        <w:tab/>
      </w:r>
      <w:r w:rsidRPr="000F07B4">
        <w:rPr>
          <w:rFonts w:asciiTheme="minorHAnsi" w:hAnsiTheme="minorHAnsi" w:cstheme="minorHAnsi"/>
          <w:szCs w:val="20"/>
        </w:rPr>
        <w:tab/>
      </w:r>
      <w:r w:rsidRPr="000F07B4">
        <w:rPr>
          <w:rFonts w:asciiTheme="minorHAnsi" w:hAnsiTheme="minorHAnsi" w:cstheme="minorHAnsi"/>
          <w:szCs w:val="20"/>
        </w:rPr>
        <w:tab/>
        <w:t>49.500 m2 oberirdisch, 29.100 m2 unterirdisch</w:t>
      </w:r>
    </w:p>
    <w:p w14:paraId="03FAAB4A" w14:textId="6C8B43E3" w:rsidR="00797F58" w:rsidRPr="00397B02" w:rsidRDefault="00397B02" w:rsidP="00397B02">
      <w:pPr>
        <w:pStyle w:val="KeinLeerraum"/>
        <w:ind w:left="-426"/>
        <w:rPr>
          <w:rFonts w:asciiTheme="minorHAnsi" w:hAnsiTheme="minorHAnsi" w:cstheme="minorHAnsi"/>
          <w:szCs w:val="20"/>
        </w:rPr>
      </w:pPr>
      <w:r w:rsidRPr="00397B02">
        <w:rPr>
          <w:rFonts w:asciiTheme="minorHAnsi" w:hAnsiTheme="minorHAnsi" w:cstheme="minorHAnsi"/>
          <w:szCs w:val="20"/>
        </w:rPr>
        <w:t xml:space="preserve">Fotos: </w:t>
      </w:r>
      <w:r w:rsidRPr="00397B02">
        <w:rPr>
          <w:rFonts w:asciiTheme="minorHAnsi" w:hAnsiTheme="minorHAnsi" w:cstheme="minorHAnsi"/>
          <w:szCs w:val="20"/>
        </w:rPr>
        <w:tab/>
      </w:r>
      <w:r w:rsidRPr="00397B02">
        <w:rPr>
          <w:rFonts w:asciiTheme="minorHAnsi" w:hAnsiTheme="minorHAnsi" w:cstheme="minorHAnsi"/>
          <w:szCs w:val="20"/>
        </w:rPr>
        <w:tab/>
      </w:r>
      <w:r w:rsidRPr="00397B02">
        <w:rPr>
          <w:rFonts w:asciiTheme="minorHAnsi" w:hAnsiTheme="minorHAnsi" w:cstheme="minorHAnsi"/>
          <w:szCs w:val="20"/>
        </w:rPr>
        <w:tab/>
        <w:t>Pierer.net</w:t>
      </w:r>
    </w:p>
    <w:p w14:paraId="05D474D5" w14:textId="77777777" w:rsidR="00397B02" w:rsidRDefault="00397B02" w:rsidP="00397B02">
      <w:pPr>
        <w:pStyle w:val="KeinLeerraum"/>
        <w:ind w:left="-426"/>
        <w:rPr>
          <w:rFonts w:asciiTheme="minorHAnsi" w:hAnsiTheme="minorHAnsi" w:cstheme="minorHAnsi"/>
          <w:szCs w:val="20"/>
        </w:rPr>
      </w:pPr>
    </w:p>
    <w:p w14:paraId="0BAB3C11" w14:textId="6FD5A696" w:rsidR="00397B02" w:rsidRPr="003350DD" w:rsidRDefault="00397B02" w:rsidP="00397B02">
      <w:pPr>
        <w:pStyle w:val="KeinLeerraum"/>
        <w:ind w:left="-426"/>
        <w:rPr>
          <w:rFonts w:asciiTheme="minorHAnsi" w:hAnsiTheme="minorHAnsi" w:cstheme="minorHAnsi"/>
          <w:b/>
          <w:bCs/>
          <w:szCs w:val="20"/>
        </w:rPr>
      </w:pPr>
      <w:r w:rsidRPr="003350DD">
        <w:rPr>
          <w:rFonts w:asciiTheme="minorHAnsi" w:hAnsiTheme="minorHAnsi" w:cstheme="minorHAnsi"/>
          <w:b/>
          <w:bCs/>
          <w:szCs w:val="20"/>
        </w:rPr>
        <w:t>Pressekontakt</w:t>
      </w:r>
      <w:r w:rsidR="003350DD" w:rsidRPr="003350DD">
        <w:rPr>
          <w:rFonts w:asciiTheme="minorHAnsi" w:hAnsiTheme="minorHAnsi" w:cstheme="minorHAnsi"/>
          <w:b/>
          <w:bCs/>
          <w:szCs w:val="20"/>
        </w:rPr>
        <w:t>:</w:t>
      </w:r>
    </w:p>
    <w:p w14:paraId="1B8053F0" w14:textId="42B7B955" w:rsidR="003350DD" w:rsidRDefault="003350DD" w:rsidP="00397B02">
      <w:pPr>
        <w:pStyle w:val="KeinLeerraum"/>
        <w:ind w:left="-426"/>
        <w:rPr>
          <w:rFonts w:asciiTheme="minorHAnsi" w:hAnsiTheme="minorHAnsi" w:cstheme="minorHAnsi"/>
          <w:szCs w:val="20"/>
        </w:rPr>
      </w:pPr>
      <w:r>
        <w:rPr>
          <w:rFonts w:asciiTheme="minorHAnsi" w:hAnsiTheme="minorHAnsi" w:cstheme="minorHAnsi"/>
          <w:szCs w:val="20"/>
        </w:rPr>
        <w:t xml:space="preserve">Zechner &amp; Zechner </w:t>
      </w:r>
      <w:proofErr w:type="spellStart"/>
      <w:r>
        <w:rPr>
          <w:rFonts w:asciiTheme="minorHAnsi" w:hAnsiTheme="minorHAnsi" w:cstheme="minorHAnsi"/>
          <w:szCs w:val="20"/>
        </w:rPr>
        <w:t>ZTGmbH</w:t>
      </w:r>
      <w:proofErr w:type="spellEnd"/>
      <w:r>
        <w:rPr>
          <w:rFonts w:asciiTheme="minorHAnsi" w:hAnsiTheme="minorHAnsi" w:cstheme="minorHAnsi"/>
          <w:szCs w:val="20"/>
        </w:rPr>
        <w:t xml:space="preserve">, </w:t>
      </w:r>
      <w:proofErr w:type="spellStart"/>
      <w:r>
        <w:rPr>
          <w:rFonts w:asciiTheme="minorHAnsi" w:hAnsiTheme="minorHAnsi" w:cstheme="minorHAnsi"/>
          <w:szCs w:val="20"/>
        </w:rPr>
        <w:t>Stumpergasse</w:t>
      </w:r>
      <w:proofErr w:type="spellEnd"/>
      <w:r>
        <w:rPr>
          <w:rFonts w:asciiTheme="minorHAnsi" w:hAnsiTheme="minorHAnsi" w:cstheme="minorHAnsi"/>
          <w:szCs w:val="20"/>
        </w:rPr>
        <w:t xml:space="preserve"> 14/23, 1060 Wien; T: +43/1/597 03 36, www.zechner.com</w:t>
      </w:r>
    </w:p>
    <w:p w14:paraId="5E92AB50" w14:textId="3E30A97E" w:rsidR="003350DD" w:rsidRDefault="003350DD" w:rsidP="00397B02">
      <w:pPr>
        <w:pStyle w:val="KeinLeerraum"/>
        <w:ind w:left="-426"/>
        <w:rPr>
          <w:rFonts w:asciiTheme="minorHAnsi" w:hAnsiTheme="minorHAnsi" w:cstheme="minorHAnsi"/>
          <w:szCs w:val="20"/>
        </w:rPr>
      </w:pPr>
      <w:hyperlink r:id="rId6" w:history="1">
        <w:r w:rsidRPr="00C91C84">
          <w:rPr>
            <w:rStyle w:val="Hyperlink"/>
            <w:rFonts w:asciiTheme="minorHAnsi" w:hAnsiTheme="minorHAnsi" w:cstheme="minorHAnsi"/>
            <w:szCs w:val="20"/>
          </w:rPr>
          <w:t>pressinformation@zechner.com</w:t>
        </w:r>
      </w:hyperlink>
    </w:p>
    <w:p w14:paraId="443F4896" w14:textId="77777777" w:rsidR="003350DD" w:rsidRPr="00397B02" w:rsidRDefault="003350DD" w:rsidP="00397B02">
      <w:pPr>
        <w:pStyle w:val="KeinLeerraum"/>
        <w:ind w:left="-426"/>
        <w:rPr>
          <w:rFonts w:asciiTheme="minorHAnsi" w:hAnsiTheme="minorHAnsi" w:cstheme="minorHAnsi"/>
          <w:szCs w:val="20"/>
        </w:rPr>
      </w:pPr>
    </w:p>
    <w:sectPr w:rsidR="003350DD" w:rsidRPr="00397B02" w:rsidSect="00797F58">
      <w:footerReference w:type="default" r:id="rId7"/>
      <w:pgSz w:w="11906" w:h="16838"/>
      <w:pgMar w:top="1135" w:right="1417" w:bottom="709"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E1A9" w14:textId="77777777" w:rsidR="00290483" w:rsidRDefault="00290483" w:rsidP="00B64CAC">
      <w:pPr>
        <w:spacing w:after="0" w:line="240" w:lineRule="auto"/>
      </w:pPr>
      <w:r>
        <w:separator/>
      </w:r>
    </w:p>
  </w:endnote>
  <w:endnote w:type="continuationSeparator" w:id="0">
    <w:p w14:paraId="58E25007" w14:textId="77777777" w:rsidR="00290483" w:rsidRDefault="00290483" w:rsidP="00B6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826735"/>
      <w:docPartObj>
        <w:docPartGallery w:val="Page Numbers (Bottom of Page)"/>
        <w:docPartUnique/>
      </w:docPartObj>
    </w:sdtPr>
    <w:sdtEndPr/>
    <w:sdtContent>
      <w:p w14:paraId="0A47354B" w14:textId="31110608" w:rsidR="00B64CAC" w:rsidRDefault="00B64CAC">
        <w:pPr>
          <w:pStyle w:val="Fuzeile"/>
          <w:jc w:val="center"/>
        </w:pPr>
        <w:r>
          <w:fldChar w:fldCharType="begin"/>
        </w:r>
        <w:r>
          <w:instrText>PAGE   \* MERGEFORMAT</w:instrText>
        </w:r>
        <w:r>
          <w:fldChar w:fldCharType="separate"/>
        </w:r>
        <w:r>
          <w:rPr>
            <w:lang w:val="de-DE"/>
          </w:rPr>
          <w:t>2</w:t>
        </w:r>
        <w:r>
          <w:fldChar w:fldCharType="end"/>
        </w:r>
      </w:p>
    </w:sdtContent>
  </w:sdt>
  <w:p w14:paraId="7A680DB2" w14:textId="6A5642A2" w:rsidR="00B64CAC" w:rsidRDefault="00B64C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D63D" w14:textId="77777777" w:rsidR="00290483" w:rsidRDefault="00290483" w:rsidP="00B64CAC">
      <w:pPr>
        <w:spacing w:after="0" w:line="240" w:lineRule="auto"/>
      </w:pPr>
      <w:r>
        <w:separator/>
      </w:r>
    </w:p>
  </w:footnote>
  <w:footnote w:type="continuationSeparator" w:id="0">
    <w:p w14:paraId="5517A14B" w14:textId="77777777" w:rsidR="00290483" w:rsidRDefault="00290483" w:rsidP="00B64C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03C"/>
    <w:rsid w:val="000170CD"/>
    <w:rsid w:val="000F07B4"/>
    <w:rsid w:val="00181B8A"/>
    <w:rsid w:val="001E37B7"/>
    <w:rsid w:val="00290483"/>
    <w:rsid w:val="003350DD"/>
    <w:rsid w:val="00397B02"/>
    <w:rsid w:val="004B177D"/>
    <w:rsid w:val="00642FA3"/>
    <w:rsid w:val="006E289C"/>
    <w:rsid w:val="00797F58"/>
    <w:rsid w:val="00A3303C"/>
    <w:rsid w:val="00B64CAC"/>
    <w:rsid w:val="00DC2393"/>
    <w:rsid w:val="00E31B37"/>
    <w:rsid w:val="00E62185"/>
    <w:rsid w:val="00F501D8"/>
    <w:rsid w:val="00FB38F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57F6E"/>
  <w15:chartTrackingRefBased/>
  <w15:docId w15:val="{F415FAA4-7604-4F7D-9A3C-D2D1DF34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30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330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3303C"/>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3303C"/>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3303C"/>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3303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303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303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303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303C"/>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3303C"/>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3303C"/>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3303C"/>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3303C"/>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3303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303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303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303C"/>
    <w:rPr>
      <w:rFonts w:eastAsiaTheme="majorEastAsia" w:cstheme="majorBidi"/>
      <w:color w:val="272727" w:themeColor="text1" w:themeTint="D8"/>
    </w:rPr>
  </w:style>
  <w:style w:type="paragraph" w:styleId="Titel">
    <w:name w:val="Title"/>
    <w:basedOn w:val="Standard"/>
    <w:next w:val="Standard"/>
    <w:link w:val="TitelZchn"/>
    <w:uiPriority w:val="10"/>
    <w:qFormat/>
    <w:rsid w:val="00A330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303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303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303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303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303C"/>
    <w:rPr>
      <w:i/>
      <w:iCs/>
      <w:color w:val="404040" w:themeColor="text1" w:themeTint="BF"/>
    </w:rPr>
  </w:style>
  <w:style w:type="paragraph" w:styleId="Listenabsatz">
    <w:name w:val="List Paragraph"/>
    <w:basedOn w:val="Standard"/>
    <w:uiPriority w:val="34"/>
    <w:qFormat/>
    <w:rsid w:val="00A3303C"/>
    <w:pPr>
      <w:ind w:left="720"/>
      <w:contextualSpacing/>
    </w:pPr>
  </w:style>
  <w:style w:type="character" w:styleId="IntensiveHervorhebung">
    <w:name w:val="Intense Emphasis"/>
    <w:basedOn w:val="Absatz-Standardschriftart"/>
    <w:uiPriority w:val="21"/>
    <w:qFormat/>
    <w:rsid w:val="00A3303C"/>
    <w:rPr>
      <w:i/>
      <w:iCs/>
      <w:color w:val="2F5496" w:themeColor="accent1" w:themeShade="BF"/>
    </w:rPr>
  </w:style>
  <w:style w:type="paragraph" w:styleId="IntensivesZitat">
    <w:name w:val="Intense Quote"/>
    <w:basedOn w:val="Standard"/>
    <w:next w:val="Standard"/>
    <w:link w:val="IntensivesZitatZchn"/>
    <w:uiPriority w:val="30"/>
    <w:qFormat/>
    <w:rsid w:val="00A330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3303C"/>
    <w:rPr>
      <w:i/>
      <w:iCs/>
      <w:color w:val="2F5496" w:themeColor="accent1" w:themeShade="BF"/>
    </w:rPr>
  </w:style>
  <w:style w:type="character" w:styleId="IntensiverVerweis">
    <w:name w:val="Intense Reference"/>
    <w:basedOn w:val="Absatz-Standardschriftart"/>
    <w:uiPriority w:val="32"/>
    <w:qFormat/>
    <w:rsid w:val="00A3303C"/>
    <w:rPr>
      <w:b/>
      <w:bCs/>
      <w:smallCaps/>
      <w:color w:val="2F5496" w:themeColor="accent1" w:themeShade="BF"/>
      <w:spacing w:val="5"/>
    </w:rPr>
  </w:style>
  <w:style w:type="paragraph" w:styleId="Kopfzeile">
    <w:name w:val="header"/>
    <w:basedOn w:val="Standard"/>
    <w:link w:val="KopfzeileZchn"/>
    <w:uiPriority w:val="99"/>
    <w:unhideWhenUsed/>
    <w:rsid w:val="00B64C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64CAC"/>
  </w:style>
  <w:style w:type="paragraph" w:styleId="Fuzeile">
    <w:name w:val="footer"/>
    <w:basedOn w:val="Standard"/>
    <w:link w:val="FuzeileZchn"/>
    <w:uiPriority w:val="99"/>
    <w:unhideWhenUsed/>
    <w:rsid w:val="00B64C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64CAC"/>
  </w:style>
  <w:style w:type="paragraph" w:styleId="KeinLeerraum">
    <w:name w:val="No Spacing"/>
    <w:aliases w:val="Aufzählung"/>
    <w:uiPriority w:val="1"/>
    <w:qFormat/>
    <w:rsid w:val="000F07B4"/>
    <w:pPr>
      <w:spacing w:after="0" w:line="360" w:lineRule="auto"/>
    </w:pPr>
    <w:rPr>
      <w:rFonts w:ascii="Arial" w:hAnsi="Arial"/>
      <w:sz w:val="20"/>
      <w:lang w:val="de-DE"/>
    </w:rPr>
  </w:style>
  <w:style w:type="character" w:styleId="Hyperlink">
    <w:name w:val="Hyperlink"/>
    <w:basedOn w:val="Absatz-Standardschriftart"/>
    <w:uiPriority w:val="99"/>
    <w:unhideWhenUsed/>
    <w:rsid w:val="003350DD"/>
    <w:rPr>
      <w:color w:val="0563C1" w:themeColor="hyperlink"/>
      <w:u w:val="single"/>
    </w:rPr>
  </w:style>
  <w:style w:type="character" w:styleId="NichtaufgelsteErwhnung">
    <w:name w:val="Unresolved Mention"/>
    <w:basedOn w:val="Absatz-Standardschriftart"/>
    <w:uiPriority w:val="99"/>
    <w:semiHidden/>
    <w:unhideWhenUsed/>
    <w:rsid w:val="00335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information@zechner.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6865</Characters>
  <Application>Microsoft Office Word</Application>
  <DocSecurity>0</DocSecurity>
  <Lines>57</Lines>
  <Paragraphs>15</Paragraphs>
  <ScaleCrop>false</ScaleCrop>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email@zechner.com</dc:creator>
  <cp:keywords/>
  <dc:description/>
  <cp:lastModifiedBy>email@zechner.com</cp:lastModifiedBy>
  <cp:revision>4</cp:revision>
  <dcterms:created xsi:type="dcterms:W3CDTF">2026-05-01T17:19:00Z</dcterms:created>
  <dcterms:modified xsi:type="dcterms:W3CDTF">2026-05-02T10:19:00Z</dcterms:modified>
</cp:coreProperties>
</file>